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8"/>
          <w:szCs w:val="28"/>
        </w:rPr>
        <w:t xml:space="preserve">SURG 5100  Biopharmaceutical Drug Development: From Target to Product</w:t>
      </w:r>
    </w:p>
    <w:p>
      <w:pPr>
        <w:spacing w:after="240"/>
        <w:jc w:val="center"/>
      </w:pPr>
      <w:r>
        <w:rPr>
          <w:rFonts w:ascii="Times New Roman" w:cs="Times New Roman" w:eastAsia="Times New Roman" w:hAnsi="Times New Roman"/>
          <w:sz w:val="22"/>
          <w:szCs w:val="22"/>
        </w:rPr>
        <w:t xml:space="preserve">Section A · Fall 2026 · CRN 96270 · University of Vermont</w:t>
      </w:r>
    </w:p>
    <w:p>
      <w:pPr>
        <w:spacing w:after="140" w:line="259"/>
      </w:pPr>
      <w:r>
        <w:rPr>
          <w:rFonts w:ascii="Times New Roman" w:cs="Times New Roman" w:eastAsia="Times New Roman" w:hAnsi="Times New Roman"/>
          <w:b/>
          <w:bCs/>
          <w:sz w:val="22"/>
          <w:szCs w:val="22"/>
        </w:rPr>
        <w:t xml:space="preserve">Meets: </w:t>
      </w:r>
      <w:r>
        <w:rPr>
          <w:rFonts w:ascii="Times New Roman" w:cs="Times New Roman" w:eastAsia="Times New Roman" w:hAnsi="Times New Roman"/>
          <w:sz w:val="22"/>
          <w:szCs w:val="22"/>
        </w:rPr>
        <w:t xml:space="preserve">Tuesday &amp; Thursday, 11:40 a.m. – 12:55 p.m. HSRF 200 (Sep 17 – Oct 8 in HSRF 400 — see schedule).</w:t>
      </w:r>
    </w:p>
    <w:p>
      <w:pPr>
        <w:spacing w:after="140" w:line="259"/>
      </w:pPr>
      <w:r>
        <w:rPr>
          <w:rFonts w:ascii="Times New Roman" w:cs="Times New Roman" w:eastAsia="Times New Roman" w:hAnsi="Times New Roman"/>
          <w:b/>
          <w:bCs/>
          <w:sz w:val="22"/>
          <w:szCs w:val="22"/>
        </w:rPr>
        <w:t xml:space="preserve">Term: </w:t>
      </w:r>
      <w:r>
        <w:rPr>
          <w:rFonts w:ascii="Times New Roman" w:cs="Times New Roman" w:eastAsia="Times New Roman" w:hAnsi="Times New Roman"/>
          <w:sz w:val="22"/>
          <w:szCs w:val="22"/>
        </w:rPr>
        <w:t xml:space="preserve">August 31 – December 11, 2026</w:t>
      </w:r>
    </w:p>
    <w:p>
      <w:pPr>
        <w:spacing w:after="140" w:line="259"/>
      </w:pPr>
      <w:r>
        <w:rPr>
          <w:rFonts w:ascii="Times New Roman" w:cs="Times New Roman" w:eastAsia="Times New Roman" w:hAnsi="Times New Roman"/>
          <w:b/>
          <w:bCs/>
          <w:sz w:val="22"/>
          <w:szCs w:val="22"/>
        </w:rPr>
        <w:t xml:space="preserve">Credits: </w:t>
      </w:r>
      <w:r>
        <w:rPr>
          <w:rFonts w:ascii="Times New Roman" w:cs="Times New Roman" w:eastAsia="Times New Roman" w:hAnsi="Times New Roman"/>
          <w:sz w:val="22"/>
          <w:szCs w:val="22"/>
        </w:rPr>
        <w:t xml:space="preserve">3 credits. Elective credit for most departments (ask your advisor). Open to undergraduate and graduate students.</w:t>
      </w:r>
    </w:p>
    <w:p>
      <w:pPr>
        <w:spacing w:after="140" w:line="259"/>
      </w:pPr>
      <w:r>
        <w:rPr>
          <w:rFonts w:ascii="Times New Roman" w:cs="Times New Roman" w:eastAsia="Times New Roman" w:hAnsi="Times New Roman"/>
          <w:b/>
          <w:bCs/>
          <w:sz w:val="22"/>
          <w:szCs w:val="22"/>
        </w:rPr>
        <w:t xml:space="preserve">Instructors: </w:t>
      </w:r>
      <w:r>
        <w:rPr>
          <w:rFonts w:ascii="Times New Roman" w:cs="Times New Roman" w:eastAsia="Times New Roman" w:hAnsi="Times New Roman"/>
          <w:sz w:val="22"/>
          <w:szCs w:val="22"/>
        </w:rPr>
        <w:t xml:space="preserve">Dev Majumdar, PhD, Larner College of Medicine and Biomedical Engineering (Dev.Majumdar@uvm.edu); Matt Whelihan, PhD, Research and Development, Prolytix Technologies (Matthew.Whelihan@uvm.edu).</w:t>
      </w:r>
    </w:p>
    <w:p>
      <w:pPr>
        <w:spacing w:after="140" w:line="259"/>
      </w:pPr>
      <w:r>
        <w:rPr>
          <w:rFonts w:ascii="Times New Roman" w:cs="Times New Roman" w:eastAsia="Times New Roman" w:hAnsi="Times New Roman"/>
          <w:b/>
          <w:bCs/>
          <w:sz w:val="22"/>
          <w:szCs w:val="22"/>
        </w:rPr>
        <w:t xml:space="preserve">Office hours: </w:t>
      </w:r>
      <w:r>
        <w:rPr>
          <w:rFonts w:ascii="Times New Roman" w:cs="Times New Roman" w:eastAsia="Times New Roman" w:hAnsi="Times New Roman"/>
          <w:sz w:val="22"/>
          <w:szCs w:val="22"/>
        </w:rPr>
        <w:t xml:space="preserve">By arrangement. Email either instructor; we will find a time within two business days.</w:t>
      </w:r>
    </w:p>
    <w:p>
      <w:pPr>
        <w:spacing w:after="140" w:line="259"/>
      </w:pPr>
      <w:r>
        <w:rPr>
          <w:rFonts w:ascii="Times New Roman" w:cs="Times New Roman" w:eastAsia="Times New Roman" w:hAnsi="Times New Roman"/>
          <w:b/>
          <w:bCs/>
          <w:sz w:val="22"/>
          <w:szCs w:val="22"/>
        </w:rPr>
        <w:t xml:space="preserve">Prerequisites: </w:t>
      </w:r>
      <w:r>
        <w:rPr>
          <w:rFonts w:ascii="Times New Roman" w:cs="Times New Roman" w:eastAsia="Times New Roman" w:hAnsi="Times New Roman"/>
          <w:sz w:val="22"/>
          <w:szCs w:val="22"/>
        </w:rPr>
        <w:t xml:space="preserve">Introductory biochemistry, genetics, or cell and molecular biology — for example MMG 2010, MMG 2040, or BCOR 2300 — or permission of the instructors. Graduate students in any life-science, engineering, or chemistry program may enroll without further prerequisite.</w:t>
      </w:r>
    </w:p>
    <w:p>
      <w:pPr>
        <w:spacing w:after="140" w:line="259"/>
      </w:pPr>
      <w:r>
        <w:rPr>
          <w:rFonts w:ascii="Times New Roman" w:cs="Times New Roman" w:eastAsia="Times New Roman" w:hAnsi="Times New Roman"/>
          <w:b/>
          <w:bCs/>
          <w:sz w:val="22"/>
          <w:szCs w:val="22"/>
        </w:rPr>
        <w:t xml:space="preserve">Cross-listing: </w:t>
      </w:r>
      <w:r>
        <w:rPr>
          <w:rFonts w:ascii="Times New Roman" w:cs="Times New Roman" w:eastAsia="Times New Roman" w:hAnsi="Times New Roman"/>
          <w:sz w:val="22"/>
          <w:szCs w:val="22"/>
        </w:rPr>
        <w:t xml:space="preserve">Cross-listing with Chemistry, Biomedical Engineering, and Microbiology &amp; Molecular Genetics is in progress.</w:t>
      </w:r>
    </w:p>
    <w:p>
      <w:pPr>
        <w:spacing w:after="100" w:before="260"/>
      </w:pPr>
      <w:r>
        <w:rPr>
          <w:rFonts w:ascii="Times New Roman" w:cs="Times New Roman" w:eastAsia="Times New Roman" w:hAnsi="Times New Roman"/>
          <w:b/>
          <w:bCs/>
          <w:sz w:val="24"/>
          <w:szCs w:val="24"/>
        </w:rPr>
        <w:t xml:space="preserve">Description</w:t>
      </w:r>
    </w:p>
    <w:p>
      <w:pPr>
        <w:spacing w:after="140" w:line="259"/>
      </w:pPr>
      <w:r>
        <w:rPr>
          <w:rFonts w:ascii="Times New Roman" w:cs="Times New Roman" w:eastAsia="Times New Roman" w:hAnsi="Times New Roman"/>
          <w:sz w:val="22"/>
          <w:szCs w:val="22"/>
        </w:rPr>
        <w:t xml:space="preserve">Biopharmaceutical Drug Development provides a practical overview of the end-to-end process of bringing a therapeutic from concept to clinic and market. The course covers target identification, lead optimization, preclinical development, formulation, clinical trial design, regulatory strategy, and manufacturing. Emphasis is placed on translational science, risk management, and decision-making across development stages, and on how scientific, regulatory, and commercial factors intersect in both small- and large-molecule programs.</w:t>
      </w:r>
    </w:p>
    <w:p>
      <w:pPr>
        <w:spacing w:after="100" w:before="260"/>
      </w:pPr>
      <w:r>
        <w:rPr>
          <w:rFonts w:ascii="Times New Roman" w:cs="Times New Roman" w:eastAsia="Times New Roman" w:hAnsi="Times New Roman"/>
          <w:b/>
          <w:bCs/>
          <w:sz w:val="24"/>
          <w:szCs w:val="24"/>
        </w:rPr>
        <w:t xml:space="preserve">Format</w:t>
      </w:r>
    </w:p>
    <w:p>
      <w:pPr>
        <w:spacing w:after="140" w:line="259"/>
      </w:pPr>
      <w:r>
        <w:rPr>
          <w:rFonts w:ascii="Times New Roman" w:cs="Times New Roman" w:eastAsia="Times New Roman" w:hAnsi="Times New Roman"/>
          <w:sz w:val="22"/>
          <w:szCs w:val="22"/>
        </w:rPr>
        <w:t xml:space="preserve">The course follows a single molecule's path from target to market. Each week takes one stage of the development pipeline, in the order a real program encounters it, and each stage is taught the same way: a lecture that frames the decision, a critical reading of the primary literature, and three real companies measured against that stage — two that failed there and one that survived because of it.</w:t>
      </w:r>
    </w:p>
    <w:p>
      <w:pPr>
        <w:spacing w:after="140" w:line="259"/>
      </w:pPr>
      <w:r>
        <w:rPr>
          <w:rFonts w:ascii="Times New Roman" w:cs="Times New Roman" w:eastAsia="Times New Roman" w:hAnsi="Times New Roman"/>
          <w:sz w:val="22"/>
          <w:szCs w:val="22"/>
        </w:rPr>
        <w:t xml:space="preserve">The sequence is deliberately the company's order rather than the learner's. You will spend eight weeks on discovery, manufacturing, and safety before the first clinical trial, because that is the order in which the money is committed and the mistakes are made.</w:t>
      </w:r>
    </w:p>
    <w:p>
      <w:pPr>
        <w:spacing w:after="100" w:before="260"/>
      </w:pPr>
      <w:r>
        <w:rPr>
          <w:rFonts w:ascii="Times New Roman" w:cs="Times New Roman" w:eastAsia="Times New Roman" w:hAnsi="Times New Roman"/>
          <w:b/>
          <w:bCs/>
          <w:sz w:val="24"/>
          <w:szCs w:val="24"/>
        </w:rPr>
        <w:t xml:space="preserve">Learning objectives</w:t>
      </w:r>
    </w:p>
    <w:p>
      <w:pPr>
        <w:spacing w:after="80" w:line="259"/>
      </w:pPr>
      <w:r>
        <w:rPr>
          <w:rFonts w:ascii="Times New Roman" w:cs="Times New Roman" w:eastAsia="Times New Roman" w:hAnsi="Times New Roman"/>
          <w:sz w:val="22"/>
          <w:szCs w:val="22"/>
        </w:rPr>
        <w:t xml:space="preserve">By the end of the course you will be able to:</w:t>
      </w:r>
    </w:p>
    <w:p>
      <w:pPr>
        <w:pStyle w:val="ListParagraph"/>
        <w:numPr>
          <w:ilvl w:val="0"/>
          <w:numId w:val="2"/>
        </w:numPr>
        <w:spacing w:after="70" w:line="259"/>
      </w:pPr>
      <w:r>
        <w:rPr>
          <w:rFonts w:ascii="Times New Roman" w:cs="Times New Roman" w:eastAsia="Times New Roman" w:hAnsi="Times New Roman"/>
          <w:sz w:val="22"/>
          <w:szCs w:val="22"/>
        </w:rPr>
        <w:t xml:space="preserve">Describe the end-to-end drug development lifecycle from discovery to product release.</w:t>
      </w:r>
    </w:p>
    <w:p>
      <w:pPr>
        <w:pStyle w:val="ListParagraph"/>
        <w:numPr>
          <w:ilvl w:val="0"/>
          <w:numId w:val="2"/>
        </w:numPr>
        <w:spacing w:after="70" w:line="259"/>
      </w:pPr>
      <w:r>
        <w:rPr>
          <w:rFonts w:ascii="Times New Roman" w:cs="Times New Roman" w:eastAsia="Times New Roman" w:hAnsi="Times New Roman"/>
          <w:sz w:val="22"/>
          <w:szCs w:val="22"/>
        </w:rPr>
        <w:t xml:space="preserve">Explain the roles of CMC, GxP, quality systems, and regulatory oversight in drug development.</w:t>
      </w:r>
    </w:p>
    <w:p>
      <w:pPr>
        <w:pStyle w:val="ListParagraph"/>
        <w:numPr>
          <w:ilvl w:val="0"/>
          <w:numId w:val="2"/>
        </w:numPr>
        <w:spacing w:after="70" w:line="259"/>
      </w:pPr>
      <w:r>
        <w:rPr>
          <w:rFonts w:ascii="Times New Roman" w:cs="Times New Roman" w:eastAsia="Times New Roman" w:hAnsi="Times New Roman"/>
          <w:sz w:val="22"/>
          <w:szCs w:val="22"/>
        </w:rPr>
        <w:t xml:space="preserve">Evaluate analytical assays for fitness, validation, and decision-making.</w:t>
      </w:r>
    </w:p>
    <w:p>
      <w:pPr>
        <w:pStyle w:val="ListParagraph"/>
        <w:numPr>
          <w:ilvl w:val="0"/>
          <w:numId w:val="2"/>
        </w:numPr>
        <w:spacing w:after="70" w:line="259"/>
      </w:pPr>
      <w:r>
        <w:rPr>
          <w:rFonts w:ascii="Times New Roman" w:cs="Times New Roman" w:eastAsia="Times New Roman" w:hAnsi="Times New Roman"/>
          <w:sz w:val="22"/>
          <w:szCs w:val="22"/>
        </w:rPr>
        <w:t xml:space="preserve">Interpret preclinical and toxicology data in the context of IND-enabling studies.</w:t>
      </w:r>
    </w:p>
    <w:p>
      <w:pPr>
        <w:pStyle w:val="ListParagraph"/>
        <w:numPr>
          <w:ilvl w:val="0"/>
          <w:numId w:val="2"/>
        </w:numPr>
        <w:spacing w:after="70" w:line="259"/>
      </w:pPr>
      <w:r>
        <w:rPr>
          <w:rFonts w:ascii="Times New Roman" w:cs="Times New Roman" w:eastAsia="Times New Roman" w:hAnsi="Times New Roman"/>
          <w:sz w:val="22"/>
          <w:szCs w:val="22"/>
        </w:rPr>
        <w:t xml:space="preserve">Distinguish the phases of clinical development and the key trial design considerations of each.</w:t>
      </w:r>
    </w:p>
    <w:p>
      <w:pPr>
        <w:pStyle w:val="ListParagraph"/>
        <w:numPr>
          <w:ilvl w:val="0"/>
          <w:numId w:val="2"/>
        </w:numPr>
        <w:spacing w:after="70" w:line="259"/>
      </w:pPr>
      <w:r>
        <w:rPr>
          <w:rFonts w:ascii="Times New Roman" w:cs="Times New Roman" w:eastAsia="Times New Roman" w:hAnsi="Times New Roman"/>
          <w:sz w:val="22"/>
          <w:szCs w:val="22"/>
        </w:rPr>
        <w:t xml:space="preserve">Understand the structure and purpose of FDA regulatory submissions.</w:t>
      </w:r>
    </w:p>
    <w:p>
      <w:pPr>
        <w:pStyle w:val="ListParagraph"/>
        <w:numPr>
          <w:ilvl w:val="0"/>
          <w:numId w:val="2"/>
        </w:numPr>
        <w:spacing w:after="70" w:line="259"/>
      </w:pPr>
      <w:r>
        <w:rPr>
          <w:rFonts w:ascii="Times New Roman" w:cs="Times New Roman" w:eastAsia="Times New Roman" w:hAnsi="Times New Roman"/>
          <w:sz w:val="22"/>
          <w:szCs w:val="22"/>
        </w:rPr>
        <w:t xml:space="preserve">Apply industry perspectives to career paths in biopharma and regulatory science.</w:t>
      </w:r>
    </w:p>
    <w:p>
      <w:pPr>
        <w:spacing w:after="100" w:before="260"/>
      </w:pPr>
      <w:r>
        <w:rPr>
          <w:rFonts w:ascii="Times New Roman" w:cs="Times New Roman" w:eastAsia="Times New Roman" w:hAnsi="Times New Roman"/>
          <w:b/>
          <w:bCs/>
          <w:sz w:val="24"/>
          <w:szCs w:val="24"/>
        </w:rPr>
        <w:t xml:space="preserve">Expectations by level</w:t>
      </w:r>
    </w:p>
    <w:p>
      <w:pPr>
        <w:spacing w:after="140" w:line="259"/>
      </w:pPr>
      <w:r>
        <w:rPr>
          <w:rFonts w:ascii="Times New Roman" w:cs="Times New Roman" w:eastAsia="Times New Roman" w:hAnsi="Times New Roman"/>
          <w:sz w:val="22"/>
          <w:szCs w:val="22"/>
        </w:rPr>
        <w:t xml:space="preserve">Undergraduate and graduate students share the schedule, the readings and the classroom. The assessed work differs as follows. Graduate students are expected to work from primary sources and to state the limits of their own arguments.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3600"/>
        <w:gridCol w:w="3600"/>
      </w:tblGrid>
      <w:tr>
        <w:trPr>
          <w:tblHeader/>
        </w:trPr>
        <w:tc>
          <w:tcPr>
            <w:tcW w:type="dxa" w:w="21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Component</w:t>
            </w:r>
          </w:p>
        </w:tc>
        <w:tc>
          <w:tcPr>
            <w:tcW w:type="dxa" w:w="3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Undergraduate</w:t>
            </w:r>
          </w:p>
        </w:tc>
        <w:tc>
          <w:tcPr>
            <w:tcW w:type="dxa" w:w="3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Graduate</w:t>
            </w:r>
          </w:p>
        </w:tc>
      </w:tr>
      <w:tr>
        <w:tc>
          <w:tcPr>
            <w:tcW w:type="dxa" w:w="21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Final report</w:t>
            </w:r>
          </w:p>
        </w:tc>
        <w:tc>
          <w:tcPr>
            <w:tcW w:type="dxa" w:w="3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8–10 pages tracing one development program of your choice through the eleven stages, naming the stage that decided its outcome.</w:t>
            </w:r>
          </w:p>
        </w:tc>
        <w:tc>
          <w:tcPr>
            <w:tcW w:type="dxa" w:w="3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15–20 pages, as at left, plus an explicit counterfactual: the earliest decision that would have changed the outcome, what it would have cost, and the evidence available at the time.</w:t>
            </w:r>
          </w:p>
        </w:tc>
      </w:tr>
      <w:tr>
        <w:tc>
          <w:tcPr>
            <w:tcW w:type="dxa" w:w="21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Seminar leadership</w:t>
            </w:r>
          </w:p>
        </w:tc>
        <w:tc>
          <w:tcPr>
            <w:tcW w:type="dxa" w:w="3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Participate in the critical reading discussion each week.</w:t>
            </w:r>
          </w:p>
        </w:tc>
        <w:tc>
          <w:tcPr>
            <w:tcW w:type="dxa" w:w="3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Lead the critical reading discussion for one week, including a one-page briefing circulated in advance.</w:t>
            </w:r>
          </w:p>
        </w:tc>
      </w:tr>
      <w:tr>
        <w:tc>
          <w:tcPr>
            <w:tcW w:type="dxa" w:w="21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Quizzes</w:t>
            </w:r>
          </w:p>
        </w:tc>
        <w:tc>
          <w:tcPr>
            <w:tcW w:type="dxa" w:w="3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Interpretation of data presented in class and in the assigned reading.</w:t>
            </w:r>
          </w:p>
        </w:tc>
        <w:tc>
          <w:tcPr>
            <w:tcW w:type="dxa" w:w="3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As at left, with one additional question per quiz drawn from the primary literature.</w:t>
            </w:r>
          </w:p>
        </w:tc>
      </w:tr>
    </w:tbl>
    <w:p>
      <w:pPr>
        <w:spacing w:after="100" w:before="260"/>
      </w:pPr>
      <w:r>
        <w:rPr>
          <w:rFonts w:ascii="Times New Roman" w:cs="Times New Roman" w:eastAsia="Times New Roman" w:hAnsi="Times New Roman"/>
          <w:b/>
          <w:bCs/>
          <w:sz w:val="24"/>
          <w:szCs w:val="24"/>
        </w:rPr>
        <w:t xml:space="preserve">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80"/>
        <w:gridCol w:w="1440"/>
        <w:gridCol w:w="1440"/>
      </w:tblGrid>
      <w:tr>
        <w:trPr>
          <w:tblHeader/>
        </w:trPr>
        <w:tc>
          <w:tcPr>
            <w:tcW w:type="dxa" w:w="648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Component</w:t>
            </w:r>
          </w:p>
        </w:tc>
        <w:tc>
          <w:tcPr>
            <w:tcW w:type="dxa" w:w="144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b/>
                <w:bCs/>
                <w:sz w:val="20"/>
                <w:szCs w:val="20"/>
              </w:rPr>
              <w:t xml:space="preserve">Undergrad</w:t>
            </w:r>
          </w:p>
        </w:tc>
        <w:tc>
          <w:tcPr>
            <w:tcW w:type="dxa" w:w="144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b/>
                <w:bCs/>
                <w:sz w:val="20"/>
                <w:szCs w:val="20"/>
              </w:rPr>
              <w:t xml:space="preserve">Graduate</w:t>
            </w:r>
          </w:p>
        </w:tc>
      </w:tr>
      <w:tr>
        <w:tc>
          <w:tcPr>
            <w:tcW w:type="dxa" w:w="648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Active participation and preparation</w:t>
            </w:r>
          </w:p>
        </w:tc>
        <w:tc>
          <w:tcPr>
            <w:tcW w:type="dxa" w:w="144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30%</w:t>
            </w:r>
          </w:p>
        </w:tc>
        <w:tc>
          <w:tcPr>
            <w:tcW w:type="dxa" w:w="144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30%</w:t>
            </w:r>
          </w:p>
        </w:tc>
      </w:tr>
      <w:tr>
        <w:tc>
          <w:tcPr>
            <w:tcW w:type="dxa" w:w="648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Weekly quizzes (five minutes, start of class)</w:t>
            </w:r>
          </w:p>
        </w:tc>
        <w:tc>
          <w:tcPr>
            <w:tcW w:type="dxa" w:w="144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30%</w:t>
            </w:r>
          </w:p>
        </w:tc>
        <w:tc>
          <w:tcPr>
            <w:tcW w:type="dxa" w:w="144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25%</w:t>
            </w:r>
          </w:p>
        </w:tc>
      </w:tr>
      <w:tr>
        <w:tc>
          <w:tcPr>
            <w:tcW w:type="dxa" w:w="648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In-class midterm examination</w:t>
            </w:r>
          </w:p>
        </w:tc>
        <w:tc>
          <w:tcPr>
            <w:tcW w:type="dxa" w:w="144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15%</w:t>
            </w:r>
          </w:p>
        </w:tc>
        <w:tc>
          <w:tcPr>
            <w:tcW w:type="dxa" w:w="144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15%</w:t>
            </w:r>
          </w:p>
        </w:tc>
      </w:tr>
      <w:tr>
        <w:tc>
          <w:tcPr>
            <w:tcW w:type="dxa" w:w="648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Final report</w:t>
            </w:r>
          </w:p>
        </w:tc>
        <w:tc>
          <w:tcPr>
            <w:tcW w:type="dxa" w:w="144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25%</w:t>
            </w:r>
          </w:p>
        </w:tc>
        <w:tc>
          <w:tcPr>
            <w:tcW w:type="dxa" w:w="144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30%</w:t>
            </w:r>
          </w:p>
        </w:tc>
      </w:tr>
    </w:tbl>
    <w:p>
      <w:pPr>
        <w:spacing w:after="120" w:line="259"/>
      </w:pPr>
      <w:r>
        <w:rPr>
          <w:rFonts w:ascii="Times New Roman" w:cs="Times New Roman" w:eastAsia="Times New Roman" w:hAnsi="Times New Roman"/>
          <w:sz w:val="22"/>
          <w:szCs w:val="22"/>
        </w:rPr>
        <w:t xml:space="preserve">Our grading philosophy is that if more than half the class answers a question correctly, the question was fair and we taught the material adequately. If fewer than half do, the problem is more likely the question or our coverage of it. Each item carries a stated point value, but the deduction for an incorrect element scales with how many classmates answered it correctly. Graded components sum to a maximum of 100 points.</w:t>
      </w:r>
    </w:p>
    <w:p>
      <w:pPr>
        <w:spacing w:after="100" w:before="260"/>
      </w:pPr>
      <w:r>
        <w:rPr>
          <w:rFonts w:ascii="Times New Roman" w:cs="Times New Roman" w:eastAsia="Times New Roman" w:hAnsi="Times New Roman"/>
          <w:b/>
          <w:bCs/>
          <w:sz w:val="24"/>
          <w:szCs w:val="24"/>
        </w:rPr>
        <w:t xml:space="preserve">Grading scale</w:t>
      </w:r>
    </w:p>
    <w:p>
      <w:pPr>
        <w:spacing w:after="140" w:line="259"/>
      </w:pPr>
      <w:r>
        <w:rPr>
          <w:rFonts w:ascii="Times New Roman" w:cs="Times New Roman" w:eastAsia="Times New Roman" w:hAnsi="Times New Roman"/>
          <w:sz w:val="22"/>
          <w:szCs w:val="22"/>
        </w:rPr>
        <w:t xml:space="preserve">A+ 97–100 · A 93–96 · A− 90–92 · B+ 87–89 · B 83–86 · B− 80–82 · C+ 77–79 · C 73–76 · C− 70–72 · F below 70</w:t>
      </w:r>
    </w:p>
    <w:p>
      <w:pPr>
        <w:spacing w:after="100" w:before="260"/>
      </w:pPr>
      <w:r>
        <w:rPr>
          <w:rFonts w:ascii="Times New Roman" w:cs="Times New Roman" w:eastAsia="Times New Roman" w:hAnsi="Times New Roman"/>
          <w:b/>
          <w:bCs/>
          <w:sz w:val="24"/>
          <w:szCs w:val="24"/>
        </w:rPr>
        <w:t xml:space="preserve">Weekly schedule</w:t>
      </w:r>
    </w:p>
    <w:p>
      <w:pPr>
        <w:spacing w:after="140" w:line="259"/>
      </w:pPr>
      <w:r>
        <w:rPr>
          <w:rFonts w:ascii="Times New Roman" w:cs="Times New Roman" w:eastAsia="Times New Roman" w:hAnsi="Times New Roman"/>
          <w:sz w:val="22"/>
          <w:szCs w:val="22"/>
        </w:rPr>
        <w:t xml:space="preserve">Rooms follow the registrar's assignment: HSRF 200, except September 17 through October 8, which are in HSRF 400. There is no class on Thursday, November 26 (Thanksgiving recess). This is a projected schedule and may shift slightly.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1500"/>
        <w:gridCol w:w="1100"/>
        <w:gridCol w:w="4260"/>
        <w:gridCol w:w="1900"/>
      </w:tblGrid>
      <w:tr>
        <w:trPr>
          <w:tblHeader/>
        </w:trP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Wk</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Dates</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Room</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Topic and sessions</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b/>
                <w:bCs/>
                <w:sz w:val="20"/>
                <w:szCs w:val="20"/>
              </w:rPr>
              <w:t xml:space="preserve">Due</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1</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Sep 1 · Sep 3</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Introduction: the pipeline and where programs die</w:t>
            </w:r>
          </w:p>
          <w:p>
            <w:pPr>
              <w:spacing w:after="0" w:line="250"/>
            </w:pPr>
            <w:r>
              <w:rPr>
                <w:rFonts w:ascii="Times New Roman" w:cs="Times New Roman" w:eastAsia="Times New Roman" w:hAnsi="Times New Roman"/>
                <w:sz w:val="20"/>
                <w:szCs w:val="20"/>
              </w:rPr>
              <w:t xml:space="preserve">Course map and attrition data · What drives pharmaceutical innovation in the United States</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1</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2</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Sep 8 · Sep 10</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Drug discovery</w:t>
            </w:r>
          </w:p>
          <w:p>
            <w:pPr>
              <w:spacing w:after="0" w:line="250"/>
            </w:pPr>
            <w:r>
              <w:rPr>
                <w:rFonts w:ascii="Times New Roman" w:cs="Times New Roman" w:eastAsia="Times New Roman" w:hAnsi="Times New Roman"/>
                <w:sz w:val="20"/>
                <w:szCs w:val="20"/>
              </w:rPr>
              <w:t xml:space="preserve">Target identification and candidate selection · State of the art: DNA-encoded libraries and computational screening</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2</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3</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Sep 15 · Sep 17</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 / 400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Chemistry, manufacturing and controls</w:t>
            </w:r>
          </w:p>
          <w:p>
            <w:pPr>
              <w:spacing w:after="0" w:line="250"/>
            </w:pPr>
            <w:r>
              <w:rPr>
                <w:rFonts w:ascii="Times New Roman" w:cs="Times New Roman" w:eastAsia="Times New Roman" w:hAnsi="Times New Roman"/>
                <w:sz w:val="20"/>
                <w:szCs w:val="20"/>
              </w:rPr>
              <w:t xml:space="preserve">What CMC is and why the process is the product · Case studies in scale-up failure</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3</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4</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Sep 22 · Sep 24</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400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GxP and the role of quality assurance</w:t>
            </w:r>
          </w:p>
          <w:p>
            <w:pPr>
              <w:spacing w:after="0" w:line="250"/>
            </w:pPr>
            <w:r>
              <w:rPr>
                <w:rFonts w:ascii="Times New Roman" w:cs="Times New Roman" w:eastAsia="Times New Roman" w:hAnsi="Times New Roman"/>
                <w:sz w:val="20"/>
                <w:szCs w:val="20"/>
              </w:rPr>
              <w:t xml:space="preserve">Quality systems and the FDA · Invited quality assurance expert</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4</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5</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Sep 29 · Oct 1</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400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Analytical assay design and validation</w:t>
            </w:r>
          </w:p>
          <w:p>
            <w:pPr>
              <w:spacing w:after="0" w:line="250"/>
            </w:pPr>
            <w:r>
              <w:rPr>
                <w:rFonts w:ascii="Times New Roman" w:cs="Times New Roman" w:eastAsia="Times New Roman" w:hAnsi="Times New Roman"/>
                <w:sz w:val="20"/>
                <w:szCs w:val="20"/>
              </w:rPr>
              <w:t xml:space="preserve">The seven elements of validation · Case studies of assay failure</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5</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6</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Oct 6 · Oct 8</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400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Formulation and drug delivery</w:t>
            </w:r>
          </w:p>
          <w:p>
            <w:pPr>
              <w:spacing w:after="0" w:line="250"/>
            </w:pPr>
            <w:r>
              <w:rPr>
                <w:rFonts w:ascii="Times New Roman" w:cs="Times New Roman" w:eastAsia="Times New Roman" w:hAnsi="Times New Roman"/>
                <w:sz w:val="20"/>
                <w:szCs w:val="20"/>
              </w:rPr>
              <w:t xml:space="preserve">Exposure, not potency: the therapeutic window · Modified release and the promise about rate</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6</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7</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Oct 13 · Oct 15</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Toxicology</w:t>
            </w:r>
          </w:p>
          <w:p>
            <w:pPr>
              <w:spacing w:after="0" w:line="250"/>
            </w:pPr>
            <w:r>
              <w:rPr>
                <w:rFonts w:ascii="Times New Roman" w:cs="Times New Roman" w:eastAsia="Times New Roman" w:hAnsi="Times New Roman"/>
                <w:sz w:val="20"/>
                <w:szCs w:val="20"/>
              </w:rPr>
              <w:t xml:space="preserve">Species selection and first-in-human dose setting · Case study session</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7</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8</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Oct 20 · Oct 22</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Preclinical trials</w:t>
            </w:r>
          </w:p>
          <w:p>
            <w:pPr>
              <w:spacing w:after="0" w:line="250"/>
            </w:pPr>
            <w:r>
              <w:rPr>
                <w:rFonts w:ascii="Times New Roman" w:cs="Times New Roman" w:eastAsia="Times New Roman" w:hAnsi="Times New Roman"/>
                <w:sz w:val="20"/>
                <w:szCs w:val="20"/>
              </w:rPr>
              <w:t xml:space="preserve">The IND-enabling package · Chemotype liabilities and study duration</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Midterm exam</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9</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Oct 27 · Oct 29</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FDA regulatory submissions</w:t>
            </w:r>
          </w:p>
          <w:p>
            <w:pPr>
              <w:spacing w:after="0" w:line="250"/>
            </w:pPr>
            <w:r>
              <w:rPr>
                <w:rFonts w:ascii="Times New Roman" w:cs="Times New Roman" w:eastAsia="Times New Roman" w:hAnsi="Times New Roman"/>
                <w:sz w:val="20"/>
                <w:szCs w:val="20"/>
              </w:rPr>
              <w:t xml:space="preserve">The Common Technical Document · Accelerated approval and its obligations</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8</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10</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Nov 3 · Nov 5</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Clinical development</w:t>
            </w:r>
          </w:p>
          <w:p>
            <w:pPr>
              <w:spacing w:after="0" w:line="250"/>
            </w:pPr>
            <w:r>
              <w:rPr>
                <w:rFonts w:ascii="Times New Roman" w:cs="Times New Roman" w:eastAsia="Times New Roman" w:hAnsi="Times New Roman"/>
                <w:sz w:val="20"/>
                <w:szCs w:val="20"/>
              </w:rPr>
              <w:t xml:space="preserve">Phases as questions, not calendar blocks · Adaptive and expandable designs</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Report proposal due</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11</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Nov 10 · Nov 12</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Clinical trials: design, endpoints and statistics</w:t>
            </w:r>
          </w:p>
          <w:p>
            <w:pPr>
              <w:spacing w:after="0" w:line="250"/>
            </w:pPr>
            <w:r>
              <w:rPr>
                <w:rFonts w:ascii="Times New Roman" w:cs="Times New Roman" w:eastAsia="Times New Roman" w:hAnsi="Times New Roman"/>
                <w:sz w:val="20"/>
                <w:szCs w:val="20"/>
              </w:rPr>
              <w:t xml:space="preserve">What randomization buys · Surrogates, endpoints and platform trials</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9</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12</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Nov 17 · Nov 19</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Roles and jobs in the food chain</w:t>
            </w:r>
          </w:p>
          <w:p>
            <w:pPr>
              <w:spacing w:after="0" w:line="250"/>
            </w:pPr>
            <w:r>
              <w:rPr>
                <w:rFonts w:ascii="Times New Roman" w:cs="Times New Roman" w:eastAsia="Times New Roman" w:hAnsi="Times New Roman"/>
                <w:sz w:val="20"/>
                <w:szCs w:val="20"/>
              </w:rPr>
              <w:t xml:space="preserve">The organization as a detection system · Careers panel with industry guests</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10</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13</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Nov 24 · Nov 26 (no class)</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Drug product release and program maintenance</w:t>
            </w:r>
          </w:p>
          <w:p>
            <w:pPr>
              <w:spacing w:after="0" w:line="250"/>
            </w:pPr>
            <w:r>
              <w:rPr>
                <w:rFonts w:ascii="Times New Roman" w:cs="Times New Roman" w:eastAsia="Times New Roman" w:hAnsi="Times New Roman"/>
                <w:sz w:val="20"/>
                <w:szCs w:val="20"/>
              </w:rPr>
              <w:t xml:space="preserve">Release decisions and specifications · Lifecycle management and post-approval change</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Quiz 11</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14</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Dec 1 · Dec 3</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Careers in industry</w:t>
            </w:r>
          </w:p>
          <w:p>
            <w:pPr>
              <w:spacing w:after="0" w:line="250"/>
            </w:pPr>
            <w:r>
              <w:rPr>
                <w:rFonts w:ascii="Times New Roman" w:cs="Times New Roman" w:eastAsia="Times New Roman" w:hAnsi="Times New Roman"/>
                <w:sz w:val="20"/>
                <w:szCs w:val="20"/>
              </w:rPr>
              <w:t xml:space="preserve">Functions, transferability and the job market · Guest speaker panel</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Report draft due</w:t>
            </w:r>
          </w:p>
        </w:tc>
      </w:tr>
      <w:tr>
        <w:tc>
          <w:tcPr>
            <w:tcW w:type="dxa" w:w="6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jc w:val="center"/>
            </w:pPr>
            <w:r>
              <w:rPr>
                <w:rFonts w:ascii="Times New Roman" w:cs="Times New Roman" w:eastAsia="Times New Roman" w:hAnsi="Times New Roman"/>
                <w:sz w:val="20"/>
                <w:szCs w:val="20"/>
              </w:rPr>
              <w:t xml:space="preserve">15</w:t>
            </w:r>
          </w:p>
        </w:tc>
        <w:tc>
          <w:tcPr>
            <w:tcW w:type="dxa" w:w="15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Dec 8 · Dec 10</w:t>
            </w:r>
          </w:p>
        </w:tc>
        <w:tc>
          <w:tcPr>
            <w:tcW w:type="dxa" w:w="11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HSRF 200</w:t>
            </w:r>
          </w:p>
        </w:tc>
        <w:tc>
          <w:tcPr>
            <w:tcW w:type="dxa" w:w="426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30" w:line="250"/>
            </w:pPr>
            <w:r>
              <w:rPr>
                <w:rFonts w:ascii="Times New Roman" w:cs="Times New Roman" w:eastAsia="Times New Roman" w:hAnsi="Times New Roman"/>
                <w:b/>
                <w:bCs/>
                <w:sz w:val="20"/>
                <w:szCs w:val="20"/>
              </w:rPr>
              <w:t xml:space="preserve">Course conclusion</w:t>
            </w:r>
          </w:p>
          <w:p>
            <w:pPr>
              <w:spacing w:after="0" w:line="250"/>
            </w:pPr>
            <w:r>
              <w:rPr>
                <w:rFonts w:ascii="Times New Roman" w:cs="Times New Roman" w:eastAsia="Times New Roman" w:hAnsi="Times New Roman"/>
                <w:sz w:val="20"/>
                <w:szCs w:val="20"/>
              </w:rPr>
              <w:t xml:space="preserve">Synthesis: the recurring failure modes · Final report presentations</w:t>
            </w:r>
          </w:p>
        </w:tc>
        <w:tc>
          <w:tcPr>
            <w:tcW w:type="dxa" w:w="1900"/>
            <w:tcBorders>
              <w:top w:val="single" w:color="000000" w:sz="2"/>
              <w:left w:val="single" w:color="000000" w:sz="2"/>
              <w:bottom w:val="single" w:color="000000" w:sz="2"/>
              <w:right w:val="single" w:color="000000" w:sz="2"/>
            </w:tcBorders>
            <w:tcMar>
              <w:top w:type="dxa" w:w="60"/>
              <w:left w:type="dxa" w:w="100"/>
              <w:bottom w:type="dxa" w:w="60"/>
              <w:right w:type="dxa" w:w="100"/>
            </w:tcMar>
          </w:tcPr>
          <w:p>
            <w:pPr>
              <w:spacing w:after="0" w:line="250"/>
            </w:pPr>
            <w:r>
              <w:rPr>
                <w:rFonts w:ascii="Times New Roman" w:cs="Times New Roman" w:eastAsia="Times New Roman" w:hAnsi="Times New Roman"/>
                <w:sz w:val="20"/>
                <w:szCs w:val="20"/>
              </w:rPr>
              <w:t xml:space="preserve">Final report due</w:t>
            </w:r>
          </w:p>
        </w:tc>
      </w:tr>
    </w:tbl>
    <w:p>
      <w:pPr>
        <w:spacing w:after="100" w:before="260"/>
      </w:pPr>
      <w:r>
        <w:rPr>
          <w:rFonts w:ascii="Times New Roman" w:cs="Times New Roman" w:eastAsia="Times New Roman" w:hAnsi="Times New Roman"/>
          <w:b/>
          <w:bCs/>
          <w:sz w:val="24"/>
          <w:szCs w:val="24"/>
        </w:rPr>
        <w:t xml:space="preserve">Guest speakers and site visits</w:t>
      </w:r>
    </w:p>
    <w:p>
      <w:pPr>
        <w:spacing w:after="140" w:line="259"/>
      </w:pPr>
      <w:r>
        <w:rPr>
          <w:rFonts w:ascii="Times New Roman" w:cs="Times New Roman" w:eastAsia="Times New Roman" w:hAnsi="Times New Roman"/>
          <w:sz w:val="22"/>
          <w:szCs w:val="22"/>
        </w:rPr>
        <w:t xml:space="preserve">Guest speakers from industry present throughout the term, including company founders and chief executives, quality assurance leads, toxicologists, and regulatory scientists who prepare FDA submissions. Optional site visits to Vermont pharmaceutical and biotechnology operations are scheduled outside class hours; attendance is encouraged but never required, and no assessment depends on attending one.</w:t>
      </w:r>
    </w:p>
    <w:p>
      <w:pPr>
        <w:spacing w:after="100" w:before="260"/>
      </w:pPr>
      <w:r>
        <w:rPr>
          <w:rFonts w:ascii="Times New Roman" w:cs="Times New Roman" w:eastAsia="Times New Roman" w:hAnsi="Times New Roman"/>
          <w:b/>
          <w:bCs/>
          <w:sz w:val="24"/>
          <w:szCs w:val="24"/>
        </w:rPr>
        <w:t xml:space="preserve">Attendance</w:t>
      </w:r>
    </w:p>
    <w:p>
      <w:pPr>
        <w:spacing w:after="140" w:line="259"/>
      </w:pPr>
      <w:r>
        <w:rPr>
          <w:rFonts w:ascii="Times New Roman" w:cs="Times New Roman" w:eastAsia="Times New Roman" w:hAnsi="Times New Roman"/>
          <w:sz w:val="22"/>
          <w:szCs w:val="22"/>
        </w:rPr>
        <w:t xml:space="preserve">Attendance is expected and folds into the participation grade. We assume everyone will miss up to three classes in a semester for illness, interviews, or travel; points come off only after more than three absences. Attendance at a scientific conference is an excused absence and does not count toward that total. If you must miss a session with a graded component, tell us before it happens.</w:t>
      </w:r>
    </w:p>
    <w:p>
      <w:pPr>
        <w:spacing w:after="100" w:before="260"/>
      </w:pPr>
      <w:r>
        <w:rPr>
          <w:rFonts w:ascii="Times New Roman" w:cs="Times New Roman" w:eastAsia="Times New Roman" w:hAnsi="Times New Roman"/>
          <w:b/>
          <w:bCs/>
          <w:sz w:val="24"/>
          <w:szCs w:val="24"/>
        </w:rPr>
        <w:t xml:space="preserve">Use of generative AI</w:t>
      </w:r>
    </w:p>
    <w:p>
      <w:pPr>
        <w:spacing w:after="140" w:line="259"/>
      </w:pPr>
      <w:r>
        <w:rPr>
          <w:rFonts w:ascii="Times New Roman" w:cs="Times New Roman" w:eastAsia="Times New Roman" w:hAnsi="Times New Roman"/>
          <w:b/>
          <w:bCs/>
          <w:sz w:val="22"/>
          <w:szCs w:val="22"/>
        </w:rPr>
        <w:t xml:space="preserve">Why the policy exists. </w:t>
      </w:r>
      <w:r>
        <w:rPr>
          <w:rFonts w:ascii="Times New Roman" w:cs="Times New Roman" w:eastAsia="Times New Roman" w:hAnsi="Times New Roman"/>
          <w:sz w:val="22"/>
          <w:szCs w:val="22"/>
        </w:rPr>
        <w:t xml:space="preserve">Large language models are useful tools, and you will use them in your career. They create two problems in this course. The pedagogical problem is that you are here to learn to reason about biomedical science and to express that reasoning precisely; outsourcing either defeats the purpose of enrolling. The functional problem is that much of the assessed work turns on interpreting data, including hypothetical and deliberately altered cases, where a language model is likely to produce confident and wrong answers.</w:t>
      </w:r>
    </w:p>
    <w:p>
      <w:pPr>
        <w:spacing w:after="140" w:line="259"/>
      </w:pPr>
      <w:r>
        <w:rPr>
          <w:rFonts w:ascii="Times New Roman" w:cs="Times New Roman" w:eastAsia="Times New Roman" w:hAnsi="Times New Roman"/>
          <w:b/>
          <w:bCs/>
          <w:sz w:val="22"/>
          <w:szCs w:val="22"/>
        </w:rPr>
        <w:t xml:space="preserve">What is permitted. </w:t>
      </w:r>
      <w:r>
        <w:rPr>
          <w:rFonts w:ascii="Times New Roman" w:cs="Times New Roman" w:eastAsia="Times New Roman" w:hAnsi="Times New Roman"/>
          <w:sz w:val="22"/>
          <w:szCs w:val="22"/>
        </w:rPr>
        <w:t xml:space="preserve">You may use AI tools for grammar, spelling, and clarity of your own prose, and for locating primary literature that you then read yourself. You may not use them to generate scientific content, analysis, or argument that you submit as your own.</w:t>
      </w:r>
    </w:p>
    <w:p>
      <w:pPr>
        <w:spacing w:after="140" w:line="259"/>
      </w:pPr>
      <w:r>
        <w:rPr>
          <w:rFonts w:ascii="Times New Roman" w:cs="Times New Roman" w:eastAsia="Times New Roman" w:hAnsi="Times New Roman"/>
          <w:b/>
          <w:bCs/>
          <w:sz w:val="22"/>
          <w:szCs w:val="22"/>
        </w:rPr>
        <w:t xml:space="preserve">Citation. </w:t>
      </w:r>
      <w:r>
        <w:rPr>
          <w:rFonts w:ascii="Times New Roman" w:cs="Times New Roman" w:eastAsia="Times New Roman" w:hAnsi="Times New Roman"/>
          <w:sz w:val="22"/>
          <w:szCs w:val="22"/>
        </w:rPr>
        <w:t xml:space="preserve">Any use of an AI system must be disclosed in a one-line note at the end of the assignment stating which tool and for what. Undisclosed use is treated as a citation violation under the Code of Academic Integrity. We will not deduct points for disclosed, permitted use; we will deduct points for confused science regardless of who or what produced it.</w:t>
      </w:r>
    </w:p>
    <w:p>
      <w:pPr>
        <w:spacing w:after="100" w:before="260"/>
      </w:pPr>
      <w:r>
        <w:rPr>
          <w:rFonts w:ascii="Times New Roman" w:cs="Times New Roman" w:eastAsia="Times New Roman" w:hAnsi="Times New Roman"/>
          <w:b/>
          <w:bCs/>
          <w:sz w:val="24"/>
          <w:szCs w:val="24"/>
        </w:rPr>
        <w:t xml:space="preserve">Required materials and platforms</w:t>
      </w:r>
    </w:p>
    <w:p>
      <w:pPr>
        <w:spacing w:after="140" w:line="259"/>
      </w:pPr>
      <w:r>
        <w:rPr>
          <w:rFonts w:ascii="Times New Roman" w:cs="Times New Roman" w:eastAsia="Times New Roman" w:hAnsi="Times New Roman"/>
          <w:sz w:val="22"/>
          <w:szCs w:val="22"/>
        </w:rPr>
        <w:t xml:space="preserve">No textbook. Primary literature and topical reviews are the reading material and are posted on Brightspace. You will need the ability to produce PDF files. Brightspace is the repository for all course content; there is no Teams page for this course.</w:t>
      </w:r>
    </w:p>
    <w:p>
      <w:r>
        <w:br w:type="page"/>
      </w:r>
    </w:p>
    <w:p>
      <w:pPr>
        <w:spacing w:after="100" w:before="260"/>
      </w:pPr>
      <w:r>
        <w:rPr>
          <w:rFonts w:ascii="Times New Roman" w:cs="Times New Roman" w:eastAsia="Times New Roman" w:hAnsi="Times New Roman"/>
          <w:b/>
          <w:bCs/>
          <w:sz w:val="24"/>
          <w:szCs w:val="24"/>
        </w:rPr>
        <w:t xml:space="preserve">University of Vermont standard syllabus components</w:t>
      </w:r>
    </w:p>
    <w:p>
      <w:pPr>
        <w:spacing w:after="140" w:line="259"/>
      </w:pPr>
      <w:r>
        <w:rPr>
          <w:rFonts w:ascii="Times New Roman" w:cs="Times New Roman" w:eastAsia="Times New Roman" w:hAnsi="Times New Roman"/>
          <w:b/>
          <w:bCs/>
          <w:sz w:val="22"/>
          <w:szCs w:val="22"/>
        </w:rPr>
        <w:t xml:space="preserve">Technical support for students. </w:t>
      </w:r>
      <w:r>
        <w:rPr>
          <w:rFonts w:ascii="Times New Roman" w:cs="Times New Roman" w:eastAsia="Times New Roman" w:hAnsi="Times New Roman"/>
          <w:sz w:val="22"/>
          <w:szCs w:val="22"/>
        </w:rPr>
        <w:t xml:space="preserve">Review the student technology checklist at uvm.edu/it/kb/student-technology-resources. For technical problems contact the Helpline at 802-656-2604.</w:t>
      </w:r>
    </w:p>
    <w:p>
      <w:pPr>
        <w:spacing w:after="140" w:line="259"/>
      </w:pPr>
      <w:r>
        <w:rPr>
          <w:rFonts w:ascii="Times New Roman" w:cs="Times New Roman" w:eastAsia="Times New Roman" w:hAnsi="Times New Roman"/>
          <w:b/>
          <w:bCs/>
          <w:sz w:val="22"/>
          <w:szCs w:val="22"/>
        </w:rPr>
        <w:t xml:space="preserve">Classroom environment. </w:t>
      </w:r>
      <w:r>
        <w:rPr>
          <w:rFonts w:ascii="Times New Roman" w:cs="Times New Roman" w:eastAsia="Times New Roman" w:hAnsi="Times New Roman"/>
          <w:sz w:val="22"/>
          <w:szCs w:val="22"/>
        </w:rPr>
        <w:t xml:space="preserve">In this class we work together to build a learning community that is inclusive and respectful, in the spirit of Our Common Ground. Constructive dialogue requires mutual respect, a willingness to listen and open-mindedness toward opposing views. Conduct that substantially or repeatedly disrupts teaching or the ability of others to engage may result in a student being asked to leave the classroom temporarily. See the Classroom Code of Conduct in the Undergraduate Catalogue.</w:t>
      </w:r>
    </w:p>
    <w:p>
      <w:pPr>
        <w:spacing w:after="140" w:line="259"/>
      </w:pPr>
      <w:r>
        <w:rPr>
          <w:rFonts w:ascii="Times New Roman" w:cs="Times New Roman" w:eastAsia="Times New Roman" w:hAnsi="Times New Roman"/>
          <w:b/>
          <w:bCs/>
          <w:sz w:val="22"/>
          <w:szCs w:val="22"/>
        </w:rPr>
        <w:t xml:space="preserve">Academic integrity. </w:t>
      </w:r>
      <w:r>
        <w:rPr>
          <w:rFonts w:ascii="Times New Roman" w:cs="Times New Roman" w:eastAsia="Times New Roman" w:hAnsi="Times New Roman"/>
          <w:sz w:val="22"/>
          <w:szCs w:val="22"/>
        </w:rPr>
        <w:t xml:space="preserve">This course follows the UVM Code of Academic Integrity, which addresses plagiarism, fabrication, collusion and cheating. You may use and interpret data from any source; anything not drawn from the Brightspace environment must be cited appropriately. See also the AI policy above.</w:t>
      </w:r>
    </w:p>
    <w:p>
      <w:pPr>
        <w:spacing w:after="140" w:line="259"/>
      </w:pPr>
      <w:r>
        <w:rPr>
          <w:rFonts w:ascii="Times New Roman" w:cs="Times New Roman" w:eastAsia="Times New Roman" w:hAnsi="Times New Roman"/>
          <w:b/>
          <w:bCs/>
          <w:sz w:val="22"/>
          <w:szCs w:val="22"/>
        </w:rPr>
        <w:t xml:space="preserve">Lived name and pronouns. </w:t>
      </w:r>
      <w:r>
        <w:rPr>
          <w:rFonts w:ascii="Times New Roman" w:cs="Times New Roman" w:eastAsia="Times New Roman" w:hAnsi="Times New Roman"/>
          <w:sz w:val="22"/>
          <w:szCs w:val="22"/>
        </w:rPr>
        <w:t xml:space="preserve">The UVM Directory includes fields for your lived name and your pronouns. Entering your pronouns is strongly encouraged and helps create a more inclusive campus; the information propagates to systems including Microsoft Teams and Brightspace.</w:t>
      </w:r>
    </w:p>
    <w:p>
      <w:pPr>
        <w:spacing w:after="140" w:line="259"/>
      </w:pPr>
      <w:r>
        <w:rPr>
          <w:rFonts w:ascii="Times New Roman" w:cs="Times New Roman" w:eastAsia="Times New Roman" w:hAnsi="Times New Roman"/>
          <w:b/>
          <w:bCs/>
          <w:sz w:val="22"/>
          <w:szCs w:val="22"/>
        </w:rPr>
        <w:t xml:space="preserve">Student learning accommodations. </w:t>
      </w:r>
      <w:r>
        <w:rPr>
          <w:rFonts w:ascii="Times New Roman" w:cs="Times New Roman" w:eastAsia="Times New Roman" w:hAnsi="Times New Roman"/>
          <w:sz w:val="22"/>
          <w:szCs w:val="22"/>
        </w:rPr>
        <w:t xml:space="preserve">Any student with a documented disability interested in using ADA accommodations should contact Student Accessibility Services. SAS works with students and faculty through an interactive process to identify reasonable accommodations, which are communicated to faculty in an accommodation letter. Discuss with us the accommodations you plan to use. SAS: A170 Living/Learning Center, 802-656-7753, access@uvm.edu, uvm.edu/access.</w:t>
      </w:r>
    </w:p>
    <w:p>
      <w:pPr>
        <w:spacing w:after="140" w:line="259"/>
      </w:pPr>
      <w:r>
        <w:rPr>
          <w:rFonts w:ascii="Times New Roman" w:cs="Times New Roman" w:eastAsia="Times New Roman" w:hAnsi="Times New Roman"/>
          <w:b/>
          <w:bCs/>
          <w:sz w:val="22"/>
          <w:szCs w:val="22"/>
        </w:rPr>
        <w:t xml:space="preserve">Religious holidays. </w:t>
      </w:r>
      <w:r>
        <w:rPr>
          <w:rFonts w:ascii="Times New Roman" w:cs="Times New Roman" w:eastAsia="Times New Roman" w:hAnsi="Times New Roman"/>
          <w:sz w:val="22"/>
          <w:szCs w:val="22"/>
        </w:rPr>
        <w:t xml:space="preserve">Students have the right to practice the religion of their choice. Submit to your instructors in writing, as early as possible and at least one week before the observance, the dates of any conflict. Faculty must permit students who miss work or examinations for religious observance to make up that work.</w:t>
      </w:r>
    </w:p>
    <w:p>
      <w:pPr>
        <w:spacing w:after="140" w:line="259"/>
      </w:pPr>
      <w:r>
        <w:rPr>
          <w:rFonts w:ascii="Times New Roman" w:cs="Times New Roman" w:eastAsia="Times New Roman" w:hAnsi="Times New Roman"/>
          <w:b/>
          <w:bCs/>
          <w:sz w:val="22"/>
          <w:szCs w:val="22"/>
        </w:rPr>
        <w:t xml:space="preserve">Research and citation help. </w:t>
      </w:r>
      <w:r>
        <w:rPr>
          <w:rFonts w:ascii="Times New Roman" w:cs="Times New Roman" w:eastAsia="Times New Roman" w:hAnsi="Times New Roman"/>
          <w:sz w:val="22"/>
          <w:szCs w:val="22"/>
        </w:rPr>
        <w:t xml:space="preserve">For help selecting topics, finding information and citing sources, ask a librarian. Dana Medical Library: dana.uvm.edu/help/ask. Howe Library: library.uvm.edu/askhowe.</w:t>
      </w:r>
    </w:p>
    <w:p>
      <w:pPr>
        <w:spacing w:after="140" w:line="259"/>
      </w:pPr>
      <w:r>
        <w:rPr>
          <w:rFonts w:ascii="Times New Roman" w:cs="Times New Roman" w:eastAsia="Times New Roman" w:hAnsi="Times New Roman"/>
          <w:b/>
          <w:bCs/>
          <w:sz w:val="22"/>
          <w:szCs w:val="22"/>
        </w:rPr>
        <w:t xml:space="preserve">Course evaluation. </w:t>
      </w:r>
      <w:r>
        <w:rPr>
          <w:rFonts w:ascii="Times New Roman" w:cs="Times New Roman" w:eastAsia="Times New Roman" w:hAnsi="Times New Roman"/>
          <w:sz w:val="22"/>
          <w:szCs w:val="22"/>
        </w:rPr>
        <w:t xml:space="preserve">Student evaluations are conducted through Blue and completion is expected at the conclusion of the course. Evaluations are anonymous and confidential; they are used primarily to improve the course and also in faculty promotion review.</w:t>
      </w:r>
    </w:p>
    <w:p>
      <w:pPr>
        <w:spacing w:after="140" w:line="259"/>
      </w:pPr>
      <w:r>
        <w:rPr>
          <w:rFonts w:ascii="Times New Roman" w:cs="Times New Roman" w:eastAsia="Times New Roman" w:hAnsi="Times New Roman"/>
          <w:b/>
          <w:bCs/>
          <w:sz w:val="22"/>
          <w:szCs w:val="22"/>
        </w:rPr>
        <w:t xml:space="preserve">Intellectual property. </w:t>
      </w:r>
      <w:r>
        <w:rPr>
          <w:rFonts w:ascii="Times New Roman" w:cs="Times New Roman" w:eastAsia="Times New Roman" w:hAnsi="Times New Roman"/>
          <w:sz w:val="22"/>
          <w:szCs w:val="22"/>
        </w:rPr>
        <w:t xml:space="preserve">Students may not publicly share or sell academic materials they did not author, including the syllabus, outlines, presentations, practice questions or other copyrighted class materials, and may not share assessments. Violations are handled under UVM's Intellectual Property policy and the Code of Academic Integrity.</w:t>
      </w:r>
    </w:p>
    <w:p>
      <w:pPr>
        <w:spacing w:after="140" w:line="259"/>
      </w:pPr>
      <w:r>
        <w:rPr>
          <w:rFonts w:ascii="Times New Roman" w:cs="Times New Roman" w:eastAsia="Times New Roman" w:hAnsi="Times New Roman"/>
          <w:b/>
          <w:bCs/>
          <w:sz w:val="22"/>
          <w:szCs w:val="22"/>
        </w:rPr>
        <w:t xml:space="preserve">Other UVM policies. </w:t>
      </w:r>
      <w:r>
        <w:rPr>
          <w:rFonts w:ascii="Times New Roman" w:cs="Times New Roman" w:eastAsia="Times New Roman" w:hAnsi="Times New Roman"/>
          <w:sz w:val="22"/>
          <w:szCs w:val="22"/>
        </w:rPr>
        <w:t xml:space="preserve">The Code of Student Conduct, FERPA Rights Disclosure, Final Exam Policy, Grade Appeals and Grading policies apply and are available at uvm.edu/policies.</w:t>
      </w:r>
    </w:p>
    <w:p>
      <w:pPr>
        <w:spacing w:after="140" w:line="259"/>
      </w:pPr>
      <w:r>
        <w:rPr>
          <w:rFonts w:ascii="Times New Roman" w:cs="Times New Roman" w:eastAsia="Times New Roman" w:hAnsi="Times New Roman"/>
          <w:b/>
          <w:bCs/>
          <w:sz w:val="22"/>
          <w:szCs w:val="22"/>
        </w:rPr>
        <w:t xml:space="preserve">Promoting health and safety. </w:t>
      </w:r>
      <w:r>
        <w:rPr>
          <w:rFonts w:ascii="Times New Roman" w:cs="Times New Roman" w:eastAsia="Times New Roman" w:hAnsi="Times New Roman"/>
          <w:sz w:val="22"/>
          <w:szCs w:val="22"/>
        </w:rPr>
        <w:t xml:space="preserve">The University's first priority is a healthy and safe community. Center for Health and Wellbeing; Counseling and Psychiatry Services (CAPS), 802-656-3340. If you are concerned about a community member, contact the Dean of Students Office at 802-656-3380 or report anonymously through the C.A.R.E. Team website.</w:t>
      </w:r>
    </w:p>
    <w:p>
      <w:pPr>
        <w:spacing w:after="140" w:line="259"/>
      </w:pPr>
      <w:r>
        <w:rPr>
          <w:rFonts w:ascii="Times New Roman" w:cs="Times New Roman" w:eastAsia="Times New Roman" w:hAnsi="Times New Roman"/>
          <w:b/>
          <w:bCs/>
          <w:sz w:val="22"/>
          <w:szCs w:val="22"/>
        </w:rPr>
        <w:t xml:space="preserve">Alcohol and cannabis. </w:t>
      </w:r>
      <w:r>
        <w:rPr>
          <w:rFonts w:ascii="Times New Roman" w:cs="Times New Roman" w:eastAsia="Times New Roman" w:hAnsi="Times New Roman"/>
          <w:sz w:val="22"/>
          <w:szCs w:val="22"/>
        </w:rPr>
        <w:t xml:space="preserve">Alcohol and cannabis have no place in an academic environment. They impair attention, memory and concentration, degrade how information is processed and stored, and disrupt the sleep patterns that support long-term memory, with effects that can persist for 48 hours or more. We expect you to do everything you can to optimize your learning and participate fully.</w:t>
      </w:r>
    </w:p>
    <w:p>
      <w:pPr>
        <w:spacing w:after="0" w:line="259"/>
      </w:pPr>
      <w:r>
        <w:rPr>
          <w:rFonts w:ascii="Times New Roman" w:cs="Times New Roman" w:eastAsia="Times New Roman" w:hAnsi="Times New Roman"/>
          <w:i/>
          <w:iCs/>
          <w:sz w:val="20"/>
          <w:szCs w:val="20"/>
        </w:rPr>
        <w:t xml:space="preserve">Draft prepared for departmental review. Week 6 (Formulation and Drug Delivery) is a proposed topic and is not yet approved. Case material referenced in class is instructor-prepared and pending source verification.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 5100 — Biopharmaceutical Drug Development: From Target to Product</dc:title>
  <dc:creator>Dev Majumdar, PhD; Matt Whelihan, PhD</dc:creator>
  <cp:lastModifiedBy>Un-named</cp:lastModifiedBy>
  <cp:revision>1</cp:revision>
  <dcterms:created xsi:type="dcterms:W3CDTF">2026-08-20T01:12:57.746Z</dcterms:created>
  <dcterms:modified xsi:type="dcterms:W3CDTF">2026-08-20T01:12:57.747Z</dcterms:modified>
</cp:coreProperties>
</file>

<file path=docProps/custom.xml><?xml version="1.0" encoding="utf-8"?>
<Properties xmlns="http://schemas.openxmlformats.org/officeDocument/2006/custom-properties" xmlns:vt="http://schemas.openxmlformats.org/officeDocument/2006/docPropsVTypes"/>
</file>